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982D82" w:rsidRDefault="008B5084">
      <w:pPr>
        <w:spacing w:before="24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REIVINDICAÇÕES</w:t>
      </w:r>
    </w:p>
    <w:p w14:paraId="00000002" w14:textId="77777777" w:rsidR="00982D82" w:rsidRDefault="008B5084">
      <w:pPr>
        <w:numPr>
          <w:ilvl w:val="0"/>
          <w:numId w:val="1"/>
        </w:numPr>
        <w:spacing w:before="240" w:after="24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MESA DE TRABALHO, </w:t>
      </w:r>
      <w:r>
        <w:rPr>
          <w:rFonts w:ascii="Arial" w:eastAsia="Arial" w:hAnsi="Arial" w:cs="Arial"/>
          <w:b/>
        </w:rPr>
        <w:t>caracterizada por</w:t>
      </w:r>
      <w:r>
        <w:rPr>
          <w:rFonts w:ascii="Arial" w:eastAsia="Arial" w:hAnsi="Arial" w:cs="Arial"/>
        </w:rPr>
        <w:t xml:space="preserve"> ter mecanismo de regulagem de altura A, constituído pelos elementos B e C.</w:t>
      </w:r>
    </w:p>
    <w:p w14:paraId="00000003" w14:textId="77777777" w:rsidR="00982D82" w:rsidRDefault="008B5084">
      <w:pPr>
        <w:spacing w:before="240" w:line="360" w:lineRule="auto"/>
        <w:ind w:firstLine="720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>Instrução para a redação da reivindicação 1:</w:t>
      </w:r>
    </w:p>
    <w:p w14:paraId="00000004" w14:textId="0C8381F4" w:rsidR="00982D82" w:rsidRDefault="008B5084">
      <w:pPr>
        <w:spacing w:before="240" w:after="240" w:line="360" w:lineRule="auto"/>
        <w:ind w:left="1700" w:hanging="15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 xml:space="preserve">Esta deve ser sua reivindicação independente principal e única. Nela precisam constar as características </w:t>
      </w:r>
      <w:r>
        <w:rPr>
          <w:rFonts w:ascii="Arial" w:eastAsia="Arial" w:hAnsi="Arial" w:cs="Arial"/>
          <w:i/>
          <w:color w:val="999999"/>
          <w:u w:val="single"/>
        </w:rPr>
        <w:t>essenciais</w:t>
      </w:r>
      <w:r>
        <w:rPr>
          <w:rFonts w:ascii="Arial" w:eastAsia="Arial" w:hAnsi="Arial" w:cs="Arial"/>
          <w:i/>
          <w:color w:val="999999"/>
        </w:rPr>
        <w:t xml:space="preserve"> do seu modelo de utilidade. Em uma reivindicação independente, o formato que você deve utilizar é sempre: Preâmbulo + Expressão “caracteriza</w:t>
      </w:r>
      <w:r>
        <w:rPr>
          <w:rFonts w:ascii="Arial" w:eastAsia="Arial" w:hAnsi="Arial" w:cs="Arial"/>
          <w:i/>
          <w:color w:val="999999"/>
        </w:rPr>
        <w:t xml:space="preserve">do por” + Matéria Pleiteada. O preâmbulo indica as características genéricas dela; quando necessário, o preâmbulo deve explicitar as características indispensáveis à construção e definição do modelo já compreendidas no estado da técnica (vide </w:t>
      </w:r>
      <w:hyperlink r:id="rId7" w:history="1">
        <w:r w:rsidRPr="008B5084">
          <w:rPr>
            <w:rFonts w:ascii="Arial" w:eastAsia="Arial" w:hAnsi="Arial" w:cs="Arial"/>
            <w:i/>
            <w:color w:val="999999"/>
          </w:rPr>
          <w:t>Portaria INPI</w:t>
        </w:r>
        <w:r w:rsidRPr="008B5084">
          <w:rPr>
            <w:rFonts w:ascii="Arial" w:eastAsia="Arial" w:hAnsi="Arial" w:cs="Arial"/>
            <w:i/>
            <w:color w:val="999999"/>
          </w:rPr>
          <w:t>/DIRPA nº 14/2024</w:t>
        </w:r>
      </w:hyperlink>
      <w:r w:rsidRPr="008B5084">
        <w:rPr>
          <w:rFonts w:ascii="Arial" w:eastAsia="Arial" w:hAnsi="Arial" w:cs="Arial"/>
          <w:color w:val="999999"/>
        </w:rPr>
        <w:t>,</w:t>
      </w:r>
      <w:r>
        <w:rPr>
          <w:rFonts w:ascii="Arial" w:eastAsia="Arial" w:hAnsi="Arial" w:cs="Arial"/>
          <w:i/>
          <w:color w:val="999999"/>
        </w:rPr>
        <w:t xml:space="preserve"> artigos 33 e  34). A matéria pleiteada é justamente a essência do seu modelo, o que você q</w:t>
      </w:r>
      <w:bookmarkStart w:id="0" w:name="_GoBack"/>
      <w:bookmarkEnd w:id="0"/>
      <w:r>
        <w:rPr>
          <w:rFonts w:ascii="Arial" w:eastAsia="Arial" w:hAnsi="Arial" w:cs="Arial"/>
          <w:i/>
          <w:color w:val="999999"/>
        </w:rPr>
        <w:t>uer proteger por meio de uma patente. Por fim, saiba que cada reivindicação deve ser redigida sem interrupção por pontos, ou seja, deve ter um únic</w:t>
      </w:r>
      <w:r>
        <w:rPr>
          <w:rFonts w:ascii="Arial" w:eastAsia="Arial" w:hAnsi="Arial" w:cs="Arial"/>
          <w:i/>
          <w:color w:val="999999"/>
        </w:rPr>
        <w:t>o ponto final (vide Portaria INPI/DIRPA nº 14/2024, artigo 28, inciso III).</w:t>
      </w:r>
    </w:p>
    <w:p w14:paraId="00000005" w14:textId="77777777" w:rsidR="00982D82" w:rsidRDefault="00982D82">
      <w:pPr>
        <w:spacing w:before="240" w:after="240" w:line="360" w:lineRule="auto"/>
        <w:ind w:left="720"/>
        <w:jc w:val="both"/>
        <w:rPr>
          <w:rFonts w:ascii="Arial" w:eastAsia="Arial" w:hAnsi="Arial" w:cs="Arial"/>
        </w:rPr>
      </w:pPr>
    </w:p>
    <w:p w14:paraId="00000006" w14:textId="77777777" w:rsidR="00982D82" w:rsidRDefault="008B5084">
      <w:pPr>
        <w:numPr>
          <w:ilvl w:val="0"/>
          <w:numId w:val="1"/>
        </w:numPr>
        <w:spacing w:before="240" w:after="24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MESA DE TRABALHO, de acordo com a reivindicação 1, </w:t>
      </w:r>
      <w:r>
        <w:rPr>
          <w:rFonts w:ascii="Arial" w:eastAsia="Arial" w:hAnsi="Arial" w:cs="Arial"/>
          <w:b/>
        </w:rPr>
        <w:t>caracterizada pelo</w:t>
      </w:r>
      <w:r>
        <w:rPr>
          <w:rFonts w:ascii="Arial" w:eastAsia="Arial" w:hAnsi="Arial" w:cs="Arial"/>
        </w:rPr>
        <w:t xml:space="preserve"> fato do elemento B ter formato </w:t>
      </w:r>
      <w:proofErr w:type="spellStart"/>
      <w:r>
        <w:rPr>
          <w:rFonts w:ascii="Arial" w:eastAsia="Arial" w:hAnsi="Arial" w:cs="Arial"/>
        </w:rPr>
        <w:t>troncônico</w:t>
      </w:r>
      <w:proofErr w:type="spellEnd"/>
      <w:r>
        <w:rPr>
          <w:rFonts w:ascii="Arial" w:eastAsia="Arial" w:hAnsi="Arial" w:cs="Arial"/>
        </w:rPr>
        <w:t>.</w:t>
      </w:r>
    </w:p>
    <w:p w14:paraId="00000007" w14:textId="77777777" w:rsidR="00982D82" w:rsidRDefault="008B5084">
      <w:pPr>
        <w:spacing w:before="240" w:line="360" w:lineRule="auto"/>
        <w:ind w:left="720"/>
        <w:jc w:val="both"/>
        <w:rPr>
          <w:rFonts w:ascii="Arial" w:eastAsia="Arial" w:hAnsi="Arial" w:cs="Arial"/>
        </w:rPr>
      </w:pPr>
      <w:bookmarkStart w:id="1" w:name="_gjdgxs" w:colFirst="0" w:colLast="0"/>
      <w:bookmarkEnd w:id="1"/>
      <w:r>
        <w:rPr>
          <w:rFonts w:ascii="Arial" w:eastAsia="Arial" w:hAnsi="Arial" w:cs="Arial"/>
          <w:i/>
          <w:color w:val="999999"/>
        </w:rPr>
        <w:t>Instrução para a redação das reivindicações dependentes:</w:t>
      </w:r>
    </w:p>
    <w:p w14:paraId="00000008" w14:textId="64AA53A2" w:rsidR="00982D82" w:rsidRDefault="008B5084">
      <w:pPr>
        <w:spacing w:before="240" w:after="240" w:line="360" w:lineRule="auto"/>
        <w:ind w:left="1700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>Nas reivi</w:t>
      </w:r>
      <w:r>
        <w:rPr>
          <w:rFonts w:ascii="Arial" w:eastAsia="Arial" w:hAnsi="Arial" w:cs="Arial"/>
          <w:i/>
          <w:color w:val="999999"/>
        </w:rPr>
        <w:t>ndicações dependentes você deve indicar características complementares e/ou opcionais. Você pode indicar também detalhamentos dos objetos descritos na reivindicação independente. Inclusive é importante que você reivindique todas as características opcionai</w:t>
      </w:r>
      <w:r>
        <w:rPr>
          <w:rFonts w:ascii="Arial" w:eastAsia="Arial" w:hAnsi="Arial" w:cs="Arial"/>
          <w:i/>
          <w:color w:val="999999"/>
        </w:rPr>
        <w:t xml:space="preserve">s e detalhamentos do seu modelo, pois o examinador de </w:t>
      </w:r>
      <w:r>
        <w:rPr>
          <w:rFonts w:ascii="Arial" w:eastAsia="Arial" w:hAnsi="Arial" w:cs="Arial"/>
          <w:i/>
          <w:color w:val="999999"/>
        </w:rPr>
        <w:lastRenderedPageBreak/>
        <w:t xml:space="preserve">patentes pode pedir que você faça ajustes para garantir que a matéria pleiteada seja diferente do estado da técnica e, assim, possa ser deferida. Lembre-se das exigências do artigo 32 da </w:t>
      </w:r>
      <w:hyperlink r:id="rId8">
        <w:r>
          <w:rPr>
            <w:rFonts w:ascii="Arial" w:eastAsia="Arial" w:hAnsi="Arial" w:cs="Arial"/>
            <w:i/>
            <w:color w:val="999999"/>
            <w:u w:val="single"/>
          </w:rPr>
          <w:t>LPI</w:t>
        </w:r>
      </w:hyperlink>
      <w:r>
        <w:rPr>
          <w:rFonts w:ascii="Arial" w:eastAsia="Arial" w:hAnsi="Arial" w:cs="Arial"/>
          <w:i/>
          <w:color w:val="999999"/>
        </w:rPr>
        <w:t xml:space="preserve"> e da </w:t>
      </w:r>
      <w:hyperlink r:id="rId9">
        <w:r>
          <w:rPr>
            <w:rFonts w:ascii="Arial" w:eastAsia="Arial" w:hAnsi="Arial" w:cs="Arial"/>
            <w:i/>
            <w:color w:val="999999"/>
            <w:u w:val="single"/>
          </w:rPr>
          <w:t>Resolução n° 93/2013</w:t>
        </w:r>
      </w:hyperlink>
      <w:r>
        <w:rPr>
          <w:rFonts w:ascii="Arial" w:eastAsia="Arial" w:hAnsi="Arial" w:cs="Arial"/>
          <w:i/>
          <w:color w:val="999999"/>
        </w:rPr>
        <w:t>. Por fim, lembre-se de que cada reivindicação deve ser</w:t>
      </w:r>
      <w:r>
        <w:rPr>
          <w:rFonts w:ascii="Arial" w:eastAsia="Arial" w:hAnsi="Arial" w:cs="Arial"/>
          <w:i/>
          <w:color w:val="999999"/>
        </w:rPr>
        <w:t xml:space="preserve"> redigida sem interrupção por pontos. Em uma reivindicação dependente o formato que você deve utilizar é sempre: Preâmbulo + Relação de Dependência com a respectiva Reivindicação Independente + Expressão “caracterizado por” + Matéria Pleiteada (vide Portar</w:t>
      </w:r>
      <w:r>
        <w:rPr>
          <w:rFonts w:ascii="Arial" w:eastAsia="Arial" w:hAnsi="Arial" w:cs="Arial"/>
          <w:i/>
          <w:color w:val="999999"/>
        </w:rPr>
        <w:t>ia INPI/DIRPA nº 14/2024, artigos 35, 36 e 28).</w:t>
      </w:r>
    </w:p>
    <w:p w14:paraId="00000009" w14:textId="77777777" w:rsidR="00982D82" w:rsidRDefault="008B5084">
      <w:pPr>
        <w:spacing w:before="240" w:after="240" w:line="360" w:lineRule="auto"/>
        <w:ind w:left="720"/>
        <w:jc w:val="both"/>
        <w:rPr>
          <w:rFonts w:ascii="Arial" w:eastAsia="Arial" w:hAnsi="Arial" w:cs="Arial"/>
          <w:color w:val="999999"/>
        </w:rPr>
      </w:pPr>
      <w:r>
        <w:rPr>
          <w:rFonts w:ascii="Arial" w:eastAsia="Arial" w:hAnsi="Arial" w:cs="Arial"/>
          <w:i/>
          <w:color w:val="999999"/>
        </w:rPr>
        <w:t>Demais observações:</w:t>
      </w:r>
    </w:p>
    <w:p w14:paraId="0000000A" w14:textId="77777777" w:rsidR="00982D82" w:rsidRDefault="008B5084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1700" w:hanging="15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>Por fim, tenha a certeza de que o que você está pleiteando aqui no quadro reivindicatório está realmente descrito e concretizado no relatório descritivo do seu pedido. Caso contrário, o ex</w:t>
      </w:r>
      <w:r>
        <w:rPr>
          <w:rFonts w:ascii="Arial" w:eastAsia="Arial" w:hAnsi="Arial" w:cs="Arial"/>
          <w:i/>
          <w:color w:val="999999"/>
        </w:rPr>
        <w:t xml:space="preserve">aminador dirá que seu pedido não cumpre os requisitos dos artigos 24 e/ou 25 da </w:t>
      </w:r>
      <w:hyperlink r:id="rId10">
        <w:r>
          <w:rPr>
            <w:rFonts w:ascii="Arial" w:eastAsia="Arial" w:hAnsi="Arial" w:cs="Arial"/>
            <w:i/>
            <w:color w:val="999999"/>
          </w:rPr>
          <w:t>LPI</w:t>
        </w:r>
      </w:hyperlink>
      <w:r>
        <w:rPr>
          <w:rFonts w:ascii="Arial" w:eastAsia="Arial" w:hAnsi="Arial" w:cs="Arial"/>
          <w:i/>
          <w:color w:val="999999"/>
        </w:rPr>
        <w:t>. Inclusive, mesmo que seu modelo realmente seja novo e inventivo, seu pedido poderá ser indeferido po</w:t>
      </w:r>
      <w:r>
        <w:rPr>
          <w:rFonts w:ascii="Arial" w:eastAsia="Arial" w:hAnsi="Arial" w:cs="Arial"/>
          <w:i/>
          <w:color w:val="999999"/>
        </w:rPr>
        <w:t>r não cumprimento do que estabelecem esses dois artigos da lei.</w:t>
      </w:r>
    </w:p>
    <w:p w14:paraId="0000000B" w14:textId="77777777" w:rsidR="00982D82" w:rsidRDefault="00982D82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1700" w:hanging="15"/>
        <w:jc w:val="both"/>
        <w:rPr>
          <w:rFonts w:ascii="Arial" w:eastAsia="Arial" w:hAnsi="Arial" w:cs="Arial"/>
          <w:i/>
          <w:color w:val="999999"/>
        </w:rPr>
      </w:pPr>
    </w:p>
    <w:sectPr w:rsidR="00982D82">
      <w:headerReference w:type="default" r:id="rId11"/>
      <w:footerReference w:type="default" r:id="rId12"/>
      <w:pgSz w:w="11907" w:h="16840"/>
      <w:pgMar w:top="1134" w:right="1134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F62F8" w14:textId="77777777" w:rsidR="00000000" w:rsidRDefault="008B5084">
      <w:r>
        <w:separator/>
      </w:r>
    </w:p>
  </w:endnote>
  <w:endnote w:type="continuationSeparator" w:id="0">
    <w:p w14:paraId="466524CF" w14:textId="77777777" w:rsidR="00000000" w:rsidRDefault="008B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1" w14:textId="77777777" w:rsidR="00982D82" w:rsidRDefault="00982D8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2" w14:textId="77777777" w:rsidR="00982D82" w:rsidRDefault="00982D8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3" w14:textId="77777777" w:rsidR="00982D82" w:rsidRDefault="00982D8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4" w14:textId="77777777" w:rsidR="00982D82" w:rsidRDefault="00982D8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CBA8C" w14:textId="77777777" w:rsidR="00000000" w:rsidRDefault="008B5084">
      <w:r>
        <w:separator/>
      </w:r>
    </w:p>
  </w:footnote>
  <w:footnote w:type="continuationSeparator" w:id="0">
    <w:p w14:paraId="61D329A1" w14:textId="77777777" w:rsidR="00000000" w:rsidRDefault="008B5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C" w14:textId="2C72F6EA" w:rsidR="00982D82" w:rsidRDefault="008B508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</w:rPr>
      <w:fldChar w:fldCharType="begin"/>
    </w:r>
    <w:r>
      <w:rPr>
        <w:rFonts w:ascii="Arial" w:eastAsia="Arial" w:hAnsi="Arial" w:cs="Arial"/>
        <w:b/>
        <w:color w:val="000000"/>
      </w:rPr>
      <w:instrText>PAGE</w:instrText>
    </w:r>
    <w:r>
      <w:rPr>
        <w:rFonts w:ascii="Arial" w:eastAsia="Arial" w:hAnsi="Arial" w:cs="Arial"/>
        <w:b/>
        <w:color w:val="000000"/>
      </w:rPr>
      <w:fldChar w:fldCharType="separate"/>
    </w:r>
    <w:r>
      <w:rPr>
        <w:rFonts w:ascii="Arial" w:eastAsia="Arial" w:hAnsi="Arial" w:cs="Arial"/>
        <w:b/>
        <w:noProof/>
        <w:color w:val="000000"/>
      </w:rPr>
      <w:t>1</w:t>
    </w:r>
    <w:r>
      <w:rPr>
        <w:rFonts w:ascii="Arial" w:eastAsia="Arial" w:hAnsi="Arial" w:cs="Arial"/>
        <w:b/>
        <w:color w:val="000000"/>
      </w:rPr>
      <w:fldChar w:fldCharType="end"/>
    </w:r>
    <w:r>
      <w:rPr>
        <w:rFonts w:ascii="Arial" w:eastAsia="Arial" w:hAnsi="Arial" w:cs="Arial"/>
        <w:b/>
        <w:color w:val="000000"/>
      </w:rPr>
      <w:t xml:space="preserve"> / </w:t>
    </w:r>
    <w:r>
      <w:rPr>
        <w:rFonts w:ascii="Arial" w:eastAsia="Arial" w:hAnsi="Arial" w:cs="Arial"/>
        <w:b/>
        <w:color w:val="000000"/>
      </w:rPr>
      <w:fldChar w:fldCharType="begin"/>
    </w:r>
    <w:r>
      <w:rPr>
        <w:rFonts w:ascii="Arial" w:eastAsia="Arial" w:hAnsi="Arial" w:cs="Arial"/>
        <w:b/>
        <w:color w:val="000000"/>
      </w:rPr>
      <w:instrText>NUMPAGES</w:instrText>
    </w:r>
    <w:r>
      <w:rPr>
        <w:rFonts w:ascii="Arial" w:eastAsia="Arial" w:hAnsi="Arial" w:cs="Arial"/>
        <w:b/>
        <w:color w:val="000000"/>
      </w:rPr>
      <w:fldChar w:fldCharType="separate"/>
    </w:r>
    <w:r>
      <w:rPr>
        <w:rFonts w:ascii="Arial" w:eastAsia="Arial" w:hAnsi="Arial" w:cs="Arial"/>
        <w:b/>
        <w:noProof/>
        <w:color w:val="000000"/>
      </w:rPr>
      <w:t>1</w:t>
    </w:r>
    <w:r>
      <w:rPr>
        <w:rFonts w:ascii="Arial" w:eastAsia="Arial" w:hAnsi="Arial" w:cs="Arial"/>
        <w:b/>
        <w:color w:val="000000"/>
      </w:rPr>
      <w:fldChar w:fldCharType="end"/>
    </w:r>
  </w:p>
  <w:p w14:paraId="0000000D" w14:textId="77777777" w:rsidR="00982D82" w:rsidRDefault="00982D8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0E" w14:textId="77777777" w:rsidR="00982D82" w:rsidRDefault="00982D8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0F" w14:textId="77777777" w:rsidR="00982D82" w:rsidRDefault="00982D8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0" w14:textId="77777777" w:rsidR="00982D82" w:rsidRDefault="00982D8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43FA0"/>
    <w:multiLevelType w:val="multilevel"/>
    <w:tmpl w:val="53D8F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D82"/>
    <w:rsid w:val="008B5084"/>
    <w:rsid w:val="0098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92885-53F5-4ECE-BD7D-8C0C5F4E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8B5084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B5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9279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inpi/pt-br/central-de-conteudo/legislacao/arquivos/documentos/2024dirpa-no-14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lanalto.gov.br/ccivil_03/leis/l927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br/inpi/pt-br/backup/centrais-de-conteudo/legislacao/Resoluo0932013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Mota Ribeiro</cp:lastModifiedBy>
  <cp:revision>2</cp:revision>
  <dcterms:created xsi:type="dcterms:W3CDTF">2024-09-30T12:32:00Z</dcterms:created>
  <dcterms:modified xsi:type="dcterms:W3CDTF">2024-09-30T12:41:00Z</dcterms:modified>
</cp:coreProperties>
</file>